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bookmarkStart w:id="0" w:name="_GoBack"/>
      <w:bookmarkEnd w:id="0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03.04.2017.</w:t>
      </w:r>
      <w:proofErr w:type="gramEnd"/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238250" cy="1238250"/>
            <wp:effectExtent l="0" t="0" r="0" b="0"/>
            <wp:docPr id="3" name="Slika 3" descr="HAT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TZ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val="de-DE"/>
        </w:rPr>
      </w:pPr>
      <w:r w:rsidRPr="003B03AD">
        <w:rPr>
          <w:rFonts w:eastAsia="Times New Roman" w:cs="Calibri"/>
          <w:b/>
          <w:color w:val="000000"/>
          <w:sz w:val="24"/>
          <w:szCs w:val="24"/>
          <w:lang w:val="de-DE"/>
        </w:rPr>
        <w:t>AKADEMIJA TEHNIČKIH ZNANOSTI HRVATSKE – HATZ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proofErr w:type="spellStart"/>
      <w:r w:rsidRPr="003B03AD">
        <w:rPr>
          <w:rFonts w:eastAsia="Times New Roman" w:cs="Calibri"/>
          <w:color w:val="000000"/>
          <w:sz w:val="24"/>
          <w:szCs w:val="24"/>
        </w:rPr>
        <w:t>Kačićeva</w:t>
      </w:r>
      <w:proofErr w:type="spellEnd"/>
      <w:r w:rsidRPr="003B03AD">
        <w:rPr>
          <w:rFonts w:eastAsia="Times New Roman" w:cs="Calibri"/>
          <w:color w:val="000000"/>
          <w:sz w:val="24"/>
          <w:szCs w:val="24"/>
        </w:rPr>
        <w:t xml:space="preserve"> 28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3B03AD">
        <w:rPr>
          <w:rFonts w:eastAsia="Times New Roman" w:cs="Calibri"/>
          <w:color w:val="000000"/>
          <w:sz w:val="24"/>
          <w:szCs w:val="24"/>
        </w:rPr>
        <w:t>10 000 Zagreb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36"/>
          <w:szCs w:val="36"/>
        </w:rPr>
      </w:pPr>
      <w:r>
        <w:rPr>
          <w:rFonts w:eastAsia="Times New Roman" w:cs="Calibri"/>
          <w:b/>
          <w:color w:val="000000"/>
          <w:sz w:val="36"/>
          <w:szCs w:val="36"/>
        </w:rPr>
        <w:t>INTERNI NATJEČAJ</w:t>
      </w: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 xml:space="preserve">ZA IZBOR NOVE UPRAVE </w:t>
      </w: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AKADEMIJE TEHNIČKIH ZNANOSTI HRVATSKE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U MANDATU 2017-2021.</w:t>
      </w: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P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</w:p>
    <w:p w:rsidR="003B03AD" w:rsidRPr="003B03AD" w:rsidRDefault="003B03AD" w:rsidP="00F82F0D">
      <w:pPr>
        <w:spacing w:after="0" w:line="300" w:lineRule="atLeast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Akademija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</w:t>
      </w:r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nanosti Hrvatske,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prema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odredbama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čl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gramStart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25 i 33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Statuta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raspisuje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redoviti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Interni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natječaj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(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predsjednik</w:t>
      </w:r>
      <w:r w:rsidR="00C242BB">
        <w:rPr>
          <w:rFonts w:asciiTheme="minorHAnsi" w:eastAsia="Times New Roman" w:hAnsiTheme="minorHAnsi" w:cs="Helvetica"/>
          <w:sz w:val="24"/>
          <w:szCs w:val="24"/>
        </w:rPr>
        <w:t>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dopredsjednika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glavn</w:t>
      </w:r>
      <w:r w:rsidR="00C242BB">
        <w:rPr>
          <w:rFonts w:asciiTheme="minorHAnsi" w:eastAsia="Times New Roman" w:hAnsiTheme="minorHAnsi" w:cs="Helvetica"/>
          <w:sz w:val="24"/>
          <w:szCs w:val="24"/>
        </w:rPr>
        <w:t>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tajnik</w:t>
      </w:r>
      <w:r w:rsidR="00C242BB">
        <w:rPr>
          <w:rFonts w:asciiTheme="minorHAnsi" w:eastAsia="Times New Roman" w:hAnsiTheme="minorHAnsi" w:cs="Helvetica"/>
          <w:sz w:val="24"/>
          <w:szCs w:val="24"/>
        </w:rPr>
        <w:t>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)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razdoblje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>-20</w:t>
      </w:r>
      <w:r>
        <w:rPr>
          <w:rFonts w:asciiTheme="minorHAnsi" w:eastAsia="Times New Roman" w:hAnsiTheme="minorHAnsi" w:cs="Helvetica"/>
          <w:sz w:val="24"/>
          <w:szCs w:val="24"/>
        </w:rPr>
        <w:t>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godine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(01.07.201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>
        <w:rPr>
          <w:rFonts w:asciiTheme="minorHAnsi" w:eastAsia="Times New Roman" w:hAnsiTheme="minorHAnsi" w:cs="Helvetica"/>
          <w:sz w:val="24"/>
          <w:szCs w:val="24"/>
        </w:rPr>
        <w:t>–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>30.06.2021.</w:t>
      </w:r>
      <w:r w:rsidRPr="003B03AD">
        <w:rPr>
          <w:rFonts w:asciiTheme="minorHAnsi" w:eastAsia="Times New Roman" w:hAnsiTheme="minorHAnsi" w:cs="Helvetica"/>
          <w:sz w:val="24"/>
          <w:szCs w:val="24"/>
        </w:rPr>
        <w:t>).</w:t>
      </w:r>
      <w:proofErr w:type="gramEnd"/>
    </w:p>
    <w:p w:rsidR="00F82F0D" w:rsidRPr="00D8723C" w:rsidRDefault="00F82F0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četveročlanim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timovima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sastoje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: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jedno</w:t>
      </w:r>
      <w:r w:rsidR="00D8723C" w:rsidRPr="00D8723C">
        <w:rPr>
          <w:rFonts w:asciiTheme="minorHAnsi" w:eastAsia="Times New Roman" w:hAnsiTheme="minorHAnsi" w:cs="Helvetica"/>
          <w:b/>
          <w:sz w:val="24"/>
          <w:szCs w:val="24"/>
        </w:rPr>
        <w:t>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(1)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nositelj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liste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),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(2)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jednog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(1)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glavnog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tajnika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.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mogu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spola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funkcije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predsjednik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dopredsjednici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glavni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tajnik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),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navedeni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muškom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gramatičkom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rodu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odnose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spola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F507BB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predvod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kandidat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biti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u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status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u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član</w:t>
      </w:r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smislu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čl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  <w:proofErr w:type="gram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gram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17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Statuta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redoviti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)</w:t>
      </w:r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  <w:proofErr w:type="gram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Timovi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trebaju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dati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cjeloviti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proaktivan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program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daje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jasne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odrednice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:  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znanstveno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–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tehnološkog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utjecaja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prepoznatljivosti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HR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ERA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p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ozicioniranje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operacionalizaciju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HATZ-a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unutar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HR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institucija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F82F0D" w:rsidRPr="00D8723C" w:rsidRDefault="00F82F0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međunarodne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suradnje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članice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CAETS-a i Euro-CASE-a,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sudjelovanja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članice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Euro-CASE-a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SAPEA;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strateškog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programa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realizacijskog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plana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model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mobilizacije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članstva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lastRenderedPageBreak/>
        <w:t>načine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učinkovitosti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trošenja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EU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fondova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možebitni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prijedlog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konkretnog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strukturnog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program s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jasno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definiranom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orijentacijom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financijskim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učinkom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,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djelotvornost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etičnosti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moralnog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integriteta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inženjerskoj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struci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društvu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F507BB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moraju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upoznati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sa</w:t>
      </w:r>
      <w:proofErr w:type="spellEnd"/>
      <w:proofErr w:type="gram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Statutom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ostalim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normativnim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aktima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strukturom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načinom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rada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3B03A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prijavi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treba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priložiti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:</w:t>
      </w:r>
    </w:p>
    <w:p w:rsidR="003B03AD" w:rsidRPr="00D8723C" w:rsidRDefault="003B03AD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kratk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životopis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svih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tima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(format </w:t>
      </w:r>
      <w:proofErr w:type="spellStart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Europass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CV)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1948E3">
      <w:pPr>
        <w:spacing w:after="0" w:line="195" w:lineRule="atLeast"/>
        <w:ind w:left="709" w:hanging="559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b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cjeloviti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program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rada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naredno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razdoblje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četiri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godine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stavkama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od 1 do 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7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želji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dodatn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im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stavkama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)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c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razradu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financijskog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plana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održivosti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razvoja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F507BB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potpisanu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suglasnost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svih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članova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tima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sudjelovanje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Internom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natječaju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F3498C" w:rsidRPr="00D8723C" w:rsidRDefault="00F82F0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i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Prijave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podnose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u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tiskanom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elektroničkom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formatu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obvezno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na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CD-u, 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ne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elektroničkom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poštom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!)</w:t>
      </w:r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osobnom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dostavom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u Dom HATZ-a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ili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preporučenom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poštom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, u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zatvorenoj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omotnici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adresu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: Akademija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tehničkih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znanosti Hrvatske – HATZ,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Kačićeva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28, p.p. 59, 10001 Zagreb, s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napomenom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“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Interni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natječaj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novu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Upravu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HATZ-a – Ne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otvarati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!”</w:t>
      </w:r>
    </w:p>
    <w:p w:rsidR="00F82F0D" w:rsidRPr="007415A1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Natječaj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započinje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(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uključivo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) 3.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travnja</w:t>
      </w:r>
      <w:proofErr w:type="spellEnd"/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2017. </w:t>
      </w:r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i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traje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do (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uključivo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) 21. </w:t>
      </w: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travnja</w:t>
      </w:r>
      <w:proofErr w:type="spellEnd"/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2017. (</w:t>
      </w:r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datum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žiga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pošte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).</w:t>
      </w: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</w:rPr>
      </w:pP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Prijave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nisu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skladu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s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propozicijama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Internog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natječaja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isključit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Helvetica"/>
          <w:b/>
          <w:sz w:val="24"/>
          <w:szCs w:val="24"/>
        </w:rPr>
        <w:t>će</w:t>
      </w:r>
      <w:proofErr w:type="spellEnd"/>
      <w:proofErr w:type="gram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iz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natječajnog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postupka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sz w:val="24"/>
          <w:szCs w:val="24"/>
        </w:rPr>
      </w:pPr>
    </w:p>
    <w:p w:rsidR="00F82F0D" w:rsidRP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Povjerenstvo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pripremu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i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provođenje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izbora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u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Akademiji</w:t>
      </w:r>
      <w:proofErr w:type="spell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>
        <w:rPr>
          <w:rFonts w:asciiTheme="minorHAnsi" w:eastAsia="Times New Roman" w:hAnsiTheme="minorHAnsi" w:cs="Helvetica"/>
          <w:sz w:val="24"/>
          <w:szCs w:val="24"/>
        </w:rPr>
        <w:t xml:space="preserve">Na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osnovi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27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Statuta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imenovao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pripremu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provođenje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sastavu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: </w:t>
      </w:r>
      <w:r>
        <w:rPr>
          <w:rFonts w:asciiTheme="minorHAnsi" w:eastAsia="Times New Roman" w:hAnsiTheme="minorHAnsi" w:cs="Helvetica"/>
          <w:sz w:val="24"/>
          <w:szCs w:val="24"/>
        </w:rPr>
        <w:t xml:space="preserve">prof. dr. sc.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Karolj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Skala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prof. dr. sc. Milena Mandić,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prof. dr. sc. Mario Cifrek,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),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postupak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pripreme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sljedećem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razdoblju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 w:rsidRPr="003B03AD">
        <w:rPr>
          <w:rFonts w:asciiTheme="minorHAnsi" w:eastAsia="Times New Roman" w:hAnsiTheme="minorHAnsi" w:cs="Helvetica"/>
          <w:sz w:val="24"/>
          <w:szCs w:val="24"/>
        </w:rPr>
        <w:t>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>-20</w:t>
      </w:r>
      <w:r>
        <w:rPr>
          <w:rFonts w:asciiTheme="minorHAnsi" w:eastAsia="Times New Roman" w:hAnsiTheme="minorHAnsi" w:cs="Helvetica"/>
          <w:sz w:val="24"/>
          <w:szCs w:val="24"/>
        </w:rPr>
        <w:t>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aktivnosti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ostvarivati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program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prihvaća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zaključke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kriterije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uspostavilo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prethodnom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</w:t>
      </w:r>
      <w:r w:rsidR="002571C5">
        <w:rPr>
          <w:rFonts w:asciiTheme="minorHAnsi" w:eastAsia="Times New Roman" w:hAnsiTheme="minorHAnsi" w:cs="Helvetica"/>
          <w:sz w:val="24"/>
          <w:szCs w:val="24"/>
        </w:rPr>
        <w:t>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(2013-2017.),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sjednici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prethodnog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održanoj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20.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ožujka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2013. </w:t>
      </w:r>
    </w:p>
    <w:p w:rsidR="00D8723C" w:rsidRDefault="00D8723C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</w:p>
    <w:p w:rsidR="00D8723C" w:rsidRDefault="00D8723C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</w:p>
    <w:p w:rsidR="00F82F0D" w:rsidRPr="007D4718" w:rsidRDefault="007D4718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proofErr w:type="gramStart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lastRenderedPageBreak/>
        <w:t>Polazište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pripremu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programa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rada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i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financijskog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plana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mandat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2017-2021.</w:t>
      </w:r>
      <w:proofErr w:type="gram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r>
        <w:rPr>
          <w:rFonts w:asciiTheme="minorHAnsi" w:eastAsia="Times New Roman" w:hAnsiTheme="minorHAnsi" w:cs="Helvetica"/>
          <w:sz w:val="24"/>
          <w:szCs w:val="24"/>
        </w:rPr>
        <w:t xml:space="preserve">S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trenutak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nalazi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Akademija,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EU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stvorena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sveobuhvatna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slika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bi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trebalo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računa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prijedlogu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rada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razdoblju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2017</w:t>
      </w:r>
      <w:r>
        <w:rPr>
          <w:rFonts w:asciiTheme="minorHAnsi" w:eastAsia="Times New Roman" w:hAnsiTheme="minorHAnsi" w:cs="Helvetica"/>
          <w:sz w:val="24"/>
          <w:szCs w:val="24"/>
        </w:rPr>
        <w:t>-2021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Konstatirano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da je Akademija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od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osnutka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danas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odigrala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zapaženu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ulogu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biotehničkim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njihovom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utjecaju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</w:t>
      </w:r>
      <w:r>
        <w:rPr>
          <w:rFonts w:asciiTheme="minorHAnsi" w:eastAsia="Times New Roman" w:hAnsiTheme="minorHAnsi" w:cs="Helvetica"/>
          <w:sz w:val="24"/>
          <w:szCs w:val="24"/>
        </w:rPr>
        <w:t>zvoj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gospodarstva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RH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cjelini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prepoznavanja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implementacije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pozicioniranje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pojačavati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stavi</w:t>
      </w:r>
      <w:r>
        <w:rPr>
          <w:rFonts w:asciiTheme="minorHAnsi" w:eastAsia="Times New Roman" w:hAnsiTheme="minorHAnsi" w:cs="Helvetica"/>
          <w:sz w:val="24"/>
          <w:szCs w:val="24"/>
        </w:rPr>
        <w:t>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temeljne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zadaće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svega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jasnu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viziju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strategije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RH, 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potom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financiranja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Istovremeno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mora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oblikovati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kompatibilni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komplementarni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sklad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sa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dokumentima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novo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nastaviti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uv</w:t>
      </w:r>
      <w:r w:rsidRPr="003B03AD">
        <w:rPr>
          <w:rFonts w:asciiTheme="minorHAnsi" w:eastAsia="Times New Roman" w:hAnsiTheme="minorHAnsi" w:cs="Helvetica"/>
          <w:sz w:val="24"/>
          <w:szCs w:val="24"/>
        </w:rPr>
        <w:t>jetima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započelo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1.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srpnja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2013</w:t>
      </w:r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istovremeno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s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početkom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aktualne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čiji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istječe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30.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lipnja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2017.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</w:p>
    <w:p w:rsidR="00F82F0D" w:rsidRPr="003B03A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r>
        <w:rPr>
          <w:rFonts w:asciiTheme="minorHAnsi" w:eastAsia="Times New Roman" w:hAnsiTheme="minorHAnsi" w:cs="Helvetica"/>
          <w:sz w:val="24"/>
          <w:szCs w:val="24"/>
        </w:rPr>
        <w:t xml:space="preserve">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da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Hrvatska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četiri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godine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pristupila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Europskom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istraživačkom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prostoru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(ERA)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europskom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tržištu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došlo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do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povećanja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mobilnosti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intelektualnog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kapitala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ot</w:t>
      </w:r>
      <w:r>
        <w:rPr>
          <w:rFonts w:asciiTheme="minorHAnsi" w:eastAsia="Times New Roman" w:hAnsiTheme="minorHAnsi" w:cs="Helvetica"/>
          <w:sz w:val="24"/>
          <w:szCs w:val="24"/>
        </w:rPr>
        <w:t>voreni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model</w:t>
      </w:r>
      <w:r>
        <w:rPr>
          <w:rFonts w:asciiTheme="minorHAnsi" w:eastAsia="Times New Roman" w:hAnsiTheme="minorHAnsi" w:cs="Helvetica"/>
          <w:sz w:val="24"/>
          <w:szCs w:val="24"/>
        </w:rPr>
        <w:t>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iskoraka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prosperiteta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strukturni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kohezijski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drugi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okvirni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program Horizon 2020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kojemu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pružaju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investicijski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ciklusi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znanstvene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infrastrukture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financiranje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znanstvenih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projekata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izazovima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Akademija mora 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nastaviti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proaktivnu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politiku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 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zadaću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jasnim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strateškim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programom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sudjeluje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maksimalno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usmjerava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procese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okruženju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EU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njenim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uvjetima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Potrebno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osmisliti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 </w:t>
      </w:r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mobilizacije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svekolikog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predstavlja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integraciju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intelektualnog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kapitala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Taj 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omogućiti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oplodnju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prosperiteta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značajnih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strukturnih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okvirnih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organizirani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način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se 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dodatno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značajno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poveća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apsorpcijski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kapacitet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 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Hrvatske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glede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tim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aktivnostima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pozicionirati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znanosti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inženjerske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tehnologije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interesu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društva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cjelini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Pr="005D7577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Kandidati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trebaju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posebnu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pozornost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posvetiti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međunarodnoj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suradnji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HATZ-a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njenim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aktivnostima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CAETS-a (International Council of Academies of Engineering and Technological Sciences, Williamsburg, Virginia, SAD) i Euro-CASE-a (European Council of Academies of Applied Sciences, Technologies and Engineering,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Pariz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Francuska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EU),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sudjelovanje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HATZ-a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Euro-CASE-a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Projektu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SAPEA </w:t>
      </w:r>
      <w:r w:rsidRPr="005D7577">
        <w:rPr>
          <w:rFonts w:asciiTheme="minorHAnsi" w:eastAsia="Times New Roman" w:hAnsiTheme="minorHAnsi" w:cs="Helvetica"/>
          <w:sz w:val="24"/>
          <w:szCs w:val="24"/>
        </w:rPr>
        <w:t>(</w:t>
      </w:r>
      <w:r w:rsidRPr="005D7577">
        <w:rPr>
          <w:sz w:val="24"/>
          <w:szCs w:val="24"/>
        </w:rPr>
        <w:t>Science Advice for Policy by European Academies</w:t>
      </w:r>
      <w:r>
        <w:rPr>
          <w:sz w:val="24"/>
          <w:szCs w:val="24"/>
        </w:rPr>
        <w:t>).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Smatramo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obratiti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posebnu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pozornost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kod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financijskog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plana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stvoriti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uvjete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Akademija ne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živi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od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donacija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članarine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nego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od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prihoda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proaktivne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projektne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orijentacije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 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području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znanosti </w:t>
      </w:r>
      <w:r w:rsidRPr="003B03AD">
        <w:rPr>
          <w:rFonts w:asciiTheme="minorHAnsi" w:eastAsia="Times New Roman" w:hAnsiTheme="minorHAnsi" w:cs="Helvetica"/>
          <w:sz w:val="24"/>
          <w:szCs w:val="24"/>
        </w:rPr>
        <w:lastRenderedPageBreak/>
        <w:t xml:space="preserve">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tehnologija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pružaju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biotehničkim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predviđena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značajna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sredstva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provedbe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projekata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Centara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Sve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to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podrazumijeva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najvišu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etičku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moralnu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razinu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</w:t>
      </w:r>
      <w:r>
        <w:rPr>
          <w:rFonts w:asciiTheme="minorHAnsi" w:eastAsia="Times New Roman" w:hAnsiTheme="minorHAnsi" w:cs="Helvetica"/>
          <w:sz w:val="24"/>
          <w:szCs w:val="24"/>
        </w:rPr>
        <w:t>tivnosti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Vodeći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računa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o gore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iznesenom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odredilo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kriterije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želi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iskazati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načelne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Internog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natječaja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članove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spremnost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odanost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trenutku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oblikovanj</w:t>
      </w:r>
      <w:r>
        <w:rPr>
          <w:rFonts w:asciiTheme="minorHAnsi" w:eastAsia="Times New Roman" w:hAnsiTheme="minorHAnsi" w:cs="Helvetica"/>
          <w:sz w:val="24"/>
          <w:szCs w:val="24"/>
        </w:rPr>
        <w:t>em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prijedloga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formi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timova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Natječaj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3B03AD" w:rsidRPr="003B03AD" w:rsidRDefault="003B03A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nastojat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provesti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postupak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najbolji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način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A75EF8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raspolaganju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pojašnjenja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pitanja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3B03AD" w:rsidRPr="003B03AD" w:rsidRDefault="003B03AD" w:rsidP="003B03AD">
      <w:pPr>
        <w:spacing w:before="100" w:beforeAutospacing="1" w:after="100" w:afterAutospacing="1" w:line="390" w:lineRule="atLeast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</w:p>
    <w:p w:rsidR="003B03AD" w:rsidRP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Prof.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dr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sc.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Karolj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Skala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,</w:t>
      </w:r>
    </w:p>
    <w:p w:rsidR="003B03AD" w:rsidRP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pripremu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provođenje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Akademiji</w:t>
      </w:r>
      <w:proofErr w:type="spellEnd"/>
    </w:p>
    <w:p w:rsidR="003B03AD" w:rsidRPr="003B03AD" w:rsidRDefault="003B03AD" w:rsidP="003B03AD">
      <w:pPr>
        <w:rPr>
          <w:rFonts w:asciiTheme="minorHAnsi" w:hAnsiTheme="minorHAnsi"/>
          <w:sz w:val="24"/>
          <w:szCs w:val="24"/>
        </w:rPr>
      </w:pPr>
    </w:p>
    <w:p w:rsidR="00333CE8" w:rsidRPr="003B03AD" w:rsidRDefault="00333CE8">
      <w:pPr>
        <w:rPr>
          <w:rFonts w:asciiTheme="minorHAnsi" w:hAnsiTheme="minorHAnsi"/>
          <w:sz w:val="24"/>
          <w:szCs w:val="24"/>
        </w:rPr>
      </w:pPr>
    </w:p>
    <w:sectPr w:rsidR="00333CE8" w:rsidRPr="003B03AD" w:rsidSect="002571C5">
      <w:pgSz w:w="12240" w:h="15840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C4"/>
    <w:multiLevelType w:val="multilevel"/>
    <w:tmpl w:val="1FB6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D"/>
    <w:rsid w:val="001948E3"/>
    <w:rsid w:val="002571C5"/>
    <w:rsid w:val="00333CE8"/>
    <w:rsid w:val="003B03AD"/>
    <w:rsid w:val="003E23C7"/>
    <w:rsid w:val="005D7577"/>
    <w:rsid w:val="0073202F"/>
    <w:rsid w:val="007415A1"/>
    <w:rsid w:val="007D4718"/>
    <w:rsid w:val="008B1F63"/>
    <w:rsid w:val="00A75EF8"/>
    <w:rsid w:val="00B82616"/>
    <w:rsid w:val="00C242BB"/>
    <w:rsid w:val="00D8723C"/>
    <w:rsid w:val="00E83E46"/>
    <w:rsid w:val="00ED1221"/>
    <w:rsid w:val="00F3498C"/>
    <w:rsid w:val="00F507BB"/>
    <w:rsid w:val="00F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AD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3A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AD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3A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2017-04-03T07:41:00Z</cp:lastPrinted>
  <dcterms:created xsi:type="dcterms:W3CDTF">2017-04-03T07:43:00Z</dcterms:created>
  <dcterms:modified xsi:type="dcterms:W3CDTF">2017-04-03T07:43:00Z</dcterms:modified>
</cp:coreProperties>
</file>